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D" w:rsidRPr="00E31587" w:rsidRDefault="00A961ED" w:rsidP="00A961ED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val="az-Latn-AZ"/>
        </w:rPr>
      </w:pPr>
      <w:r w:rsidRPr="00E31587">
        <w:rPr>
          <w:rFonts w:asciiTheme="majorHAnsi" w:hAnsiTheme="majorHAnsi" w:cs="Arial"/>
          <w:b/>
          <w:sz w:val="32"/>
          <w:szCs w:val="32"/>
          <w:lang w:val="az-Latn-AZ"/>
        </w:rPr>
        <w:t>«Azərpoçt» MMC tərəfindən emissiya edilən ödəniş kartları vasitəsilə həyata keçirilən, eyni zamanda digər banklar tərəfindən emissiya edilən ödəniş kartları vasitəsilə  «Azərpoçt» MMC-yə məxsus terminal şəbəkəsində həyata keçirilən əməliyyatlar zamanı tətbiq edilən</w:t>
      </w:r>
    </w:p>
    <w:p w:rsidR="00A961ED" w:rsidRPr="00E31587" w:rsidRDefault="00A961ED" w:rsidP="00A961ED">
      <w:pPr>
        <w:spacing w:after="0" w:line="360" w:lineRule="auto"/>
        <w:ind w:firstLine="357"/>
        <w:jc w:val="center"/>
        <w:rPr>
          <w:rFonts w:ascii="Arial" w:hAnsi="Arial" w:cs="Arial"/>
          <w:b/>
          <w:color w:val="000000" w:themeColor="text1"/>
          <w:spacing w:val="8"/>
          <w:lang w:val="az-Latn-AZ"/>
        </w:rPr>
      </w:pPr>
      <w:r w:rsidRPr="00E31587">
        <w:rPr>
          <w:rFonts w:asciiTheme="majorHAnsi" w:hAnsiTheme="majorHAnsi" w:cs="Arial"/>
          <w:b/>
          <w:sz w:val="32"/>
          <w:szCs w:val="32"/>
          <w:lang w:val="az-Latn-AZ"/>
        </w:rPr>
        <w:t>limitlər və məhdudiyyətlər</w:t>
      </w:r>
      <w:r w:rsidRPr="00E31587">
        <w:rPr>
          <w:rFonts w:ascii="Arial" w:hAnsi="Arial" w:cs="Arial"/>
          <w:b/>
          <w:color w:val="000000" w:themeColor="text1"/>
          <w:spacing w:val="8"/>
          <w:lang w:val="az-Latn-AZ"/>
        </w:rPr>
        <w:t xml:space="preserve">  </w:t>
      </w:r>
    </w:p>
    <w:p w:rsidR="00495B25" w:rsidRPr="00733942" w:rsidRDefault="00495B25" w:rsidP="00495B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Arial"/>
          <w:b/>
          <w:color w:val="C0504D" w:themeColor="accent2"/>
          <w:sz w:val="28"/>
          <w:szCs w:val="28"/>
          <w:u w:val="single"/>
          <w:lang w:val="az-Latn-AZ"/>
        </w:rPr>
      </w:pPr>
      <w:r w:rsidRPr="00733942">
        <w:rPr>
          <w:rFonts w:asciiTheme="majorHAnsi" w:hAnsiTheme="majorHAnsi" w:cs="Arial"/>
          <w:b/>
          <w:color w:val="C0504D" w:themeColor="accent2"/>
          <w:sz w:val="28"/>
          <w:szCs w:val="28"/>
          <w:lang w:val="az-Latn-AZ"/>
        </w:rPr>
        <w:t>Terminallar üzrə AZN ekvivalentində tətbiq edilən</w:t>
      </w:r>
    </w:p>
    <w:p w:rsidR="00495B25" w:rsidRPr="00733942" w:rsidRDefault="00495B25" w:rsidP="00495B25">
      <w:pPr>
        <w:pStyle w:val="a3"/>
        <w:spacing w:after="0" w:line="240" w:lineRule="auto"/>
        <w:jc w:val="center"/>
        <w:rPr>
          <w:rFonts w:asciiTheme="majorHAnsi" w:hAnsiTheme="majorHAnsi" w:cs="Arial"/>
          <w:b/>
          <w:color w:val="C0504D" w:themeColor="accent2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color w:val="C0504D" w:themeColor="accent2"/>
          <w:sz w:val="28"/>
          <w:szCs w:val="28"/>
          <w:lang w:val="az-Latn-AZ"/>
        </w:rPr>
        <w:t>birdəfəlik limitlər</w:t>
      </w:r>
    </w:p>
    <w:p w:rsidR="008C2121" w:rsidRPr="00E31587" w:rsidRDefault="008C2121" w:rsidP="008C2121">
      <w:pPr>
        <w:spacing w:after="0" w:line="360" w:lineRule="auto"/>
        <w:ind w:firstLine="357"/>
        <w:jc w:val="center"/>
        <w:rPr>
          <w:rFonts w:asciiTheme="majorHAnsi" w:hAnsiTheme="majorHAnsi" w:cs="Arial"/>
          <w:spacing w:val="8"/>
          <w:u w:val="single"/>
          <w:lang w:val="az-Latn-AZ"/>
        </w:rPr>
      </w:pPr>
    </w:p>
    <w:tbl>
      <w:tblPr>
        <w:tblpPr w:leftFromText="180" w:rightFromText="180" w:vertAnchor="text" w:horzAnchor="margin" w:tblpXSpec="center" w:tblpY="37"/>
        <w:tblW w:w="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286"/>
        <w:gridCol w:w="1286"/>
      </w:tblGrid>
      <w:tr w:rsidR="008C2121" w:rsidRPr="00E31587" w:rsidTr="00E66B41">
        <w:trPr>
          <w:trHeight w:val="300"/>
        </w:trPr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8C2121" w:rsidRPr="00E31587" w:rsidRDefault="00E31587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</w:rPr>
            </w:pPr>
            <w:r>
              <w:rPr>
                <w:rFonts w:asciiTheme="majorHAnsi" w:eastAsia="Times New Roman" w:hAnsiTheme="majorHAnsi" w:cs="Arial"/>
                <w:b/>
                <w:spacing w:val="8"/>
                <w:lang w:val="en-US"/>
              </w:rPr>
              <w:t>Ə</w:t>
            </w:r>
            <w:r w:rsidR="008C2121" w:rsidRPr="00E31587">
              <w:rPr>
                <w:rFonts w:asciiTheme="majorHAnsi" w:eastAsia="Times New Roman" w:hAnsiTheme="majorHAnsi" w:cs="Arial"/>
                <w:b/>
                <w:spacing w:val="8"/>
              </w:rPr>
              <w:t xml:space="preserve">məliyyatın </w:t>
            </w:r>
            <w:proofErr w:type="spellStart"/>
            <w:r w:rsidR="008C2121" w:rsidRPr="00E31587">
              <w:rPr>
                <w:rFonts w:asciiTheme="majorHAnsi" w:eastAsia="Times New Roman" w:hAnsiTheme="majorHAnsi" w:cs="Arial"/>
                <w:b/>
                <w:spacing w:val="8"/>
              </w:rPr>
              <w:t>tipi</w:t>
            </w:r>
            <w:proofErr w:type="spellEnd"/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b/>
                <w:spacing w:val="8"/>
              </w:rPr>
              <w:t>A</w:t>
            </w:r>
            <w:r w:rsidRPr="00E31587"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  <w:t>TM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b/>
                <w:spacing w:val="8"/>
              </w:rPr>
              <w:t>POS</w:t>
            </w:r>
          </w:p>
        </w:tc>
      </w:tr>
      <w:tr w:rsidR="008C2121" w:rsidRPr="00E31587" w:rsidTr="00E66B41">
        <w:trPr>
          <w:trHeight w:val="300"/>
        </w:trPr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</w:rPr>
              <w:t>ON_US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*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2 500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5 0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</w:tr>
      <w:tr w:rsidR="008C2121" w:rsidRPr="00E31587" w:rsidTr="00E66B41">
        <w:trPr>
          <w:trHeight w:val="300"/>
        </w:trPr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Friendly</w:t>
            </w:r>
            <w:proofErr w:type="spellEnd"/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**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1 000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1 500</w:t>
            </w:r>
          </w:p>
        </w:tc>
      </w:tr>
      <w:tr w:rsidR="008C2121" w:rsidRPr="00E31587" w:rsidTr="00E66B41">
        <w:trPr>
          <w:trHeight w:val="300"/>
        </w:trPr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Local</w:t>
            </w:r>
            <w:proofErr w:type="spellEnd"/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***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500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1 000</w:t>
            </w:r>
          </w:p>
        </w:tc>
      </w:tr>
      <w:tr w:rsidR="008C2121" w:rsidRPr="00E31587" w:rsidTr="00E66B41">
        <w:trPr>
          <w:trHeight w:val="300"/>
        </w:trPr>
        <w:tc>
          <w:tcPr>
            <w:tcW w:w="2421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</w:rPr>
              <w:t>İNT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****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250</w:t>
            </w:r>
          </w:p>
        </w:tc>
        <w:tc>
          <w:tcPr>
            <w:tcW w:w="128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500</w:t>
            </w:r>
          </w:p>
        </w:tc>
      </w:tr>
    </w:tbl>
    <w:p w:rsidR="008C2121" w:rsidRPr="00E31587" w:rsidRDefault="008C2121" w:rsidP="008C2121">
      <w:pPr>
        <w:spacing w:after="0" w:line="360" w:lineRule="auto"/>
        <w:ind w:firstLine="357"/>
        <w:jc w:val="center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E31587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</w:t>
      </w:r>
      <w:r w:rsidRPr="00E31587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«Azərpoçt» MMC-nin emissiya etdiyi kartlarla «Azərpoçt»a məxsus terminal şəbəkəsində əməliyyat həyata keçirilərkən tətbiq edilən limit;</w:t>
      </w:r>
    </w:p>
    <w:p w:rsidR="008C2121" w:rsidRPr="00E31587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E31587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**</w:t>
      </w:r>
      <w:r w:rsidRPr="00E31587">
        <w:rPr>
          <w:rFonts w:asciiTheme="majorHAnsi" w:hAnsiTheme="majorHAnsi" w:cs="Arial"/>
          <w:spacing w:val="8"/>
          <w:sz w:val="28"/>
          <w:szCs w:val="28"/>
          <w:lang w:val="az-Latn-AZ"/>
        </w:rPr>
        <w:t>Millikart şəbəkəsində xidmət olunan bankların emissiya etdiyi kartlarla «Azərpoçt»a məxsus terminal şəbəkəsində əməliyyat həyata keçirilərkən tətbiq edilən limit;</w:t>
      </w:r>
    </w:p>
    <w:p w:rsidR="008C2121" w:rsidRPr="00733942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E31587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***</w:t>
      </w:r>
      <w:r w:rsidRPr="00E31587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Digər prossesinq mərkəzlərində xidmət olunan rezident bankların emissiya 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>etdiyi kartlarla «Azərpoçt»a məxsus terminal şəbəkəsində əməliyyat həyata keçirilərkən tətbiq edilən limit;</w:t>
      </w:r>
    </w:p>
    <w:p w:rsidR="008C2121" w:rsidRPr="00733942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****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>Qeyri-rezident bankların emissiya etdiyi kartlarla «Azərpoçt»a məxsus terminal şəbəkəsində əməliyyat həyata keçirilərkən tətbiq edilən limit.</w:t>
      </w:r>
    </w:p>
    <w:p w:rsidR="008C2121" w:rsidRPr="00733942" w:rsidRDefault="008C2121" w:rsidP="008C2121">
      <w:pPr>
        <w:spacing w:after="0" w:line="360" w:lineRule="auto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8C2121">
      <w:pPr>
        <w:pStyle w:val="a3"/>
        <w:numPr>
          <w:ilvl w:val="0"/>
          <w:numId w:val="1"/>
        </w:numPr>
        <w:spacing w:after="0" w:line="360" w:lineRule="auto"/>
        <w:ind w:left="0" w:firstLine="357"/>
        <w:jc w:val="center"/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  <w:t xml:space="preserve">«Azərpoçt» MMC tərəfindən emissiya edilən kart məhsulları üzrə tətbiq edilən </w:t>
      </w:r>
      <w:r w:rsidRPr="00733942">
        <w:rPr>
          <w:rFonts w:asciiTheme="majorHAnsi" w:hAnsiTheme="majorHAnsi" w:cs="Arial"/>
          <w:b/>
          <w:color w:val="FF0000"/>
          <w:spacing w:val="8"/>
          <w:sz w:val="28"/>
          <w:szCs w:val="28"/>
          <w:u w:val="single"/>
          <w:lang w:val="az-Latn-AZ"/>
        </w:rPr>
        <w:t>gündəlik limitlər AZN / USD / EUR</w:t>
      </w:r>
    </w:p>
    <w:tbl>
      <w:tblPr>
        <w:tblW w:w="724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1300"/>
        <w:gridCol w:w="1457"/>
        <w:gridCol w:w="1713"/>
      </w:tblGrid>
      <w:tr w:rsidR="008C2121" w:rsidRPr="00E31587" w:rsidTr="00E66B41">
        <w:trPr>
          <w:trHeight w:val="300"/>
          <w:jc w:val="center"/>
        </w:trPr>
        <w:tc>
          <w:tcPr>
            <w:tcW w:w="2776" w:type="dxa"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  <w:t>Məhsul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b/>
                <w:spacing w:val="8"/>
              </w:rPr>
              <w:t>Cash</w:t>
            </w:r>
            <w:proofErr w:type="spellEnd"/>
            <w:r w:rsidRPr="00E31587"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  <w:t>*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b/>
                <w:spacing w:val="8"/>
              </w:rPr>
              <w:t>Retail</w:t>
            </w:r>
            <w:proofErr w:type="spellEnd"/>
            <w:r w:rsidRPr="00E31587"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  <w:t>**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b/>
                <w:spacing w:val="8"/>
              </w:rPr>
              <w:t>Ecomm</w:t>
            </w:r>
            <w:proofErr w:type="spellEnd"/>
            <w:r w:rsidRPr="00E31587">
              <w:rPr>
                <w:rFonts w:asciiTheme="majorHAnsi" w:eastAsia="Times New Roman" w:hAnsiTheme="majorHAnsi" w:cs="Arial"/>
                <w:b/>
                <w:spacing w:val="8"/>
                <w:lang w:val="az-Latn-AZ"/>
              </w:rPr>
              <w:t>***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Maestro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1 000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1 5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1 2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</w:rPr>
              <w:t>D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ebet MasterCard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1 5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</w:rPr>
              <w:t>3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 0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1 4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MasterCard </w:t>
            </w: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Standard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2 000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</w:rPr>
              <w:t>5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 0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1 50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lastRenderedPageBreak/>
              <w:t>K</w:t>
            </w: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orporativ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2 5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7 000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1 500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MasterCard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 xml:space="preserve"> </w:t>
            </w: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Gold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3 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10 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1 500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MasterCard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 xml:space="preserve"> </w:t>
            </w: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Platin</w:t>
            </w:r>
            <w:proofErr w:type="spellEnd"/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i</w:t>
            </w: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um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5 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5</w:t>
            </w: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 xml:space="preserve"> </w:t>
            </w:r>
            <w:r w:rsidRPr="00E31587">
              <w:rPr>
                <w:rFonts w:asciiTheme="majorHAnsi" w:eastAsia="Times New Roman" w:hAnsiTheme="majorHAnsi" w:cs="Arial"/>
                <w:spacing w:val="8"/>
              </w:rPr>
              <w:t>000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2 000</w:t>
            </w:r>
          </w:p>
        </w:tc>
      </w:tr>
      <w:tr w:rsidR="008C2121" w:rsidRPr="00E31587" w:rsidTr="00E66B41">
        <w:trPr>
          <w:trHeight w:val="300"/>
          <w:jc w:val="center"/>
        </w:trPr>
        <w:tc>
          <w:tcPr>
            <w:tcW w:w="2776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</w:rPr>
            </w:pPr>
            <w:proofErr w:type="spellStart"/>
            <w:r w:rsidRPr="00E31587">
              <w:rPr>
                <w:rFonts w:asciiTheme="majorHAnsi" w:eastAsia="Times New Roman" w:hAnsiTheme="majorHAnsi" w:cs="Arial"/>
                <w:spacing w:val="8"/>
              </w:rPr>
              <w:t>İnvestor</w:t>
            </w:r>
            <w:proofErr w:type="spellEnd"/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3000</w:t>
            </w:r>
          </w:p>
        </w:tc>
        <w:tc>
          <w:tcPr>
            <w:tcW w:w="1457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spacing w:after="0" w:line="360" w:lineRule="auto"/>
              <w:ind w:firstLine="357"/>
              <w:jc w:val="center"/>
              <w:rPr>
                <w:rFonts w:asciiTheme="majorHAnsi" w:eastAsia="Times New Roman" w:hAnsiTheme="majorHAnsi" w:cs="Arial"/>
                <w:spacing w:val="8"/>
                <w:lang w:val="az-Latn-AZ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3500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8C2121" w:rsidRPr="00E31587" w:rsidRDefault="008C2121" w:rsidP="00E66B41">
            <w:pPr>
              <w:pStyle w:val="a3"/>
              <w:spacing w:after="0" w:line="360" w:lineRule="auto"/>
              <w:ind w:left="717"/>
              <w:rPr>
                <w:rFonts w:asciiTheme="majorHAnsi" w:eastAsia="Times New Roman" w:hAnsiTheme="majorHAnsi" w:cs="Arial"/>
                <w:spacing w:val="8"/>
              </w:rPr>
            </w:pPr>
            <w:r w:rsidRPr="00E31587">
              <w:rPr>
                <w:rFonts w:asciiTheme="majorHAnsi" w:eastAsia="Times New Roman" w:hAnsiTheme="majorHAnsi" w:cs="Arial"/>
                <w:spacing w:val="8"/>
                <w:lang w:val="az-Latn-AZ"/>
              </w:rPr>
              <w:t>1500</w:t>
            </w:r>
          </w:p>
        </w:tc>
      </w:tr>
    </w:tbl>
    <w:p w:rsidR="008C2121" w:rsidRPr="00733942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8C2121">
      <w:pPr>
        <w:spacing w:after="0" w:line="360" w:lineRule="auto"/>
        <w:ind w:left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>nağdlaşdırma əməliyyatları</w:t>
      </w:r>
    </w:p>
    <w:p w:rsidR="008C2121" w:rsidRPr="00733942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**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mal, iş və xidmətin dəyərinin qeyri-nağd ödənilməsi</w:t>
      </w:r>
    </w:p>
    <w:p w:rsidR="008C2121" w:rsidRPr="00733942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***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mal, iş və xidmətin dəyərinin onlayn (elektron kommersiya) ödənilməsi</w:t>
      </w:r>
    </w:p>
    <w:p w:rsidR="008C2121" w:rsidRPr="00733942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Qeyd: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Korporativ kartlarda aylıq nağdlaşdırma limiti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kart hesabının valyutasından asılı olaraq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15 000 AZN / 8 600 USD / 7 600 EUR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məbləğindədir. </w:t>
      </w:r>
    </w:p>
    <w:p w:rsidR="008C2121" w:rsidRPr="00733942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spacing w:val="8"/>
          <w:sz w:val="28"/>
          <w:szCs w:val="28"/>
          <w:lang w:val="az-Latn-AZ"/>
        </w:rPr>
        <w:t>Qeyd: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Müştərisi eyniləşdirilmiş yüklənə bilən əvvəlcədən ödənilmiş kartlarda illik məxaric limiti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kart hesabının valyutasından asılı olaraq rüsumlarla birgə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15 000 AZN / 8 600 USD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məbləğindədir.</w:t>
      </w:r>
    </w:p>
    <w:p w:rsidR="008C2121" w:rsidRPr="00733942" w:rsidRDefault="008C2121" w:rsidP="008C2121">
      <w:pPr>
        <w:spacing w:after="0" w:line="360" w:lineRule="auto"/>
        <w:ind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E3158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Theme="majorHAnsi" w:hAnsiTheme="majorHAnsi" w:cs="Arial"/>
          <w:b/>
          <w:color w:val="FF0000"/>
          <w:spacing w:val="8"/>
          <w:sz w:val="28"/>
          <w:szCs w:val="28"/>
          <w:u w:val="single"/>
          <w:lang w:val="az-Latn-AZ"/>
        </w:rPr>
      </w:pPr>
      <w:r w:rsidRPr="00733942"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  <w:t>Beynəlxalq ödəniş sistemləri tərəfindən qəbul edilmiş “Məsuliyyətin ötürülməsi qaydalar”ının (liability shift rule) tətbiq edilmədiyi ölkələr üzrə müəyyən edilmiş məhdudiyyətlər (limitlər).</w:t>
      </w:r>
    </w:p>
    <w:p w:rsidR="008C2121" w:rsidRPr="00733942" w:rsidRDefault="008C2121" w:rsidP="008C2121">
      <w:pPr>
        <w:spacing w:after="0" w:line="360" w:lineRule="auto"/>
        <w:ind w:firstLine="357"/>
        <w:jc w:val="center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8C2121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“Məsuliyyətin ötürülməsi qaydalar”ının (liability shift rule) tətbiq edilmədiyi ölkələrdə maqnit lent üzərindən həyata keçirilən əməliyyatlar yüksək risk daşıması səbəbindən sistem üzərindən bloklanılmışdır.</w:t>
      </w:r>
    </w:p>
    <w:p w:rsidR="008C2121" w:rsidRPr="00733942" w:rsidRDefault="008C2121" w:rsidP="008C2121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“Məsuliyyətin ötürülməsi qaydalar”ının (liability shift rule) tətbiq edilmədiyi ölkələrdə əməliyyatın tipindən (nağd, nağdsız, onlayn) asılı olmayaraq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çip üzərindən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həyata keçirilən əməliyyatlarda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birdəfəlik limit 250 AZN/USD/EUR məbləğindədir.</w:t>
      </w:r>
    </w:p>
    <w:p w:rsidR="008C2121" w:rsidRPr="00733942" w:rsidRDefault="008C2121" w:rsidP="008C2121">
      <w:pPr>
        <w:spacing w:after="0" w:line="360" w:lineRule="auto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E31587">
      <w:pPr>
        <w:pStyle w:val="a3"/>
        <w:numPr>
          <w:ilvl w:val="0"/>
          <w:numId w:val="1"/>
        </w:numPr>
        <w:spacing w:after="0" w:line="360" w:lineRule="auto"/>
        <w:ind w:left="0" w:firstLine="357"/>
        <w:jc w:val="center"/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  <w:t>“Card to card” əməliyyatlarında müəyyən edilmiş limitlər</w:t>
      </w:r>
    </w:p>
    <w:p w:rsidR="008C2121" w:rsidRPr="00733942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sz w:val="28"/>
          <w:szCs w:val="28"/>
          <w:lang w:val="az-Latn-AZ"/>
        </w:rPr>
      </w:pPr>
    </w:p>
    <w:p w:rsidR="008C2121" w:rsidRPr="00733942" w:rsidRDefault="008C2121" w:rsidP="008C2121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«Azərpoçt» MMC-nin emissiya etdiyi ödəniş kartı vasitəsilə digər rezident bankların emissiya etdiyi kartların hesabına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card to card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xidməti vasitəsilə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 xml:space="preserve">köçürmə limiti gündəlik 1 500 AZN / 300 USD / 250 EUR, 15 günlük 7 500 AZN / 2 500 USD / 2 000 EUR 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>məbləğindədir.</w:t>
      </w: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733942" w:rsidRDefault="008C2121" w:rsidP="00E31587">
      <w:pPr>
        <w:pStyle w:val="a3"/>
        <w:numPr>
          <w:ilvl w:val="0"/>
          <w:numId w:val="1"/>
        </w:numPr>
        <w:spacing w:after="0" w:line="360" w:lineRule="auto"/>
        <w:ind w:left="0" w:firstLine="357"/>
        <w:jc w:val="center"/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b/>
          <w:color w:val="FF0000"/>
          <w:spacing w:val="8"/>
          <w:sz w:val="28"/>
          <w:szCs w:val="28"/>
          <w:lang w:val="az-Latn-AZ"/>
        </w:rPr>
        <w:t>Digər məhdudiyyət və qadağalar</w:t>
      </w:r>
    </w:p>
    <w:p w:rsidR="008C2121" w:rsidRPr="00E31587" w:rsidRDefault="008C2121" w:rsidP="008C2121">
      <w:pPr>
        <w:pStyle w:val="a3"/>
        <w:spacing w:after="0" w:line="360" w:lineRule="auto"/>
        <w:ind w:left="0" w:firstLine="357"/>
        <w:rPr>
          <w:rFonts w:asciiTheme="majorHAnsi" w:hAnsiTheme="majorHAnsi" w:cs="Arial"/>
          <w:spacing w:val="8"/>
          <w:lang w:val="az-Latn-AZ"/>
        </w:rPr>
      </w:pPr>
    </w:p>
    <w:p w:rsidR="008C2121" w:rsidRPr="00733942" w:rsidRDefault="008C2121" w:rsidP="008C2121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>Azərbaycan Respublikasının Maliyyə Bazarlarına Nəzarət Palatasının 31 nömrəli 13 iyul 2017-ci il tarixli Əmri ilə Ermənistan, Kotdiuvar, Beliz, Qayana, Laos, Liberiya, Myanma, Somali, İran, İraq, Sudan, Tailand, Vyetnam, Konqo DR, KXDR-da əməliyyatlar qadağan edilmişdir.</w:t>
      </w:r>
    </w:p>
    <w:p w:rsidR="008C2121" w:rsidRPr="00733942" w:rsidRDefault="008C2121" w:rsidP="008C2121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sz w:val="28"/>
          <w:szCs w:val="28"/>
          <w:lang w:val="az-Latn-AZ"/>
        </w:rPr>
      </w:pP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7995, 7994, 5734 saylı MCC</w:t>
      </w:r>
      <w:r w:rsidRPr="00733942">
        <w:rPr>
          <w:rFonts w:asciiTheme="majorHAnsi" w:hAnsiTheme="majorHAnsi" w:cs="Arial"/>
          <w:spacing w:val="8"/>
          <w:sz w:val="28"/>
          <w:szCs w:val="28"/>
          <w:lang w:val="az-Latn-AZ"/>
        </w:rPr>
        <w:t xml:space="preserve"> kodlarla eyniləşdirilmiş təssərrüfat subyektərində (internet kazinolarda, proqram təminatının satışı, video oyunlar) </w:t>
      </w:r>
      <w:r w:rsidRPr="00733942">
        <w:rPr>
          <w:rFonts w:asciiTheme="majorHAnsi" w:hAnsiTheme="majorHAnsi" w:cs="Arial"/>
          <w:spacing w:val="8"/>
          <w:sz w:val="28"/>
          <w:szCs w:val="28"/>
          <w:u w:val="single"/>
          <w:lang w:val="az-Latn-AZ"/>
        </w:rPr>
        <w:t>gündəlik limit 250 AZN / USD / EUR məbləğindədir.</w:t>
      </w:r>
    </w:p>
    <w:p w:rsidR="008C2121" w:rsidRPr="00E31587" w:rsidRDefault="008C2121" w:rsidP="008C2121">
      <w:pPr>
        <w:pStyle w:val="a3"/>
        <w:spacing w:after="0" w:line="360" w:lineRule="auto"/>
        <w:ind w:left="0" w:firstLine="357"/>
        <w:jc w:val="both"/>
        <w:rPr>
          <w:rFonts w:asciiTheme="majorHAnsi" w:hAnsiTheme="majorHAnsi" w:cs="Arial"/>
          <w:spacing w:val="8"/>
          <w:lang w:val="az-Latn-AZ"/>
        </w:rPr>
      </w:pPr>
    </w:p>
    <w:p w:rsidR="008C2121" w:rsidRPr="00E31587" w:rsidRDefault="008C2121" w:rsidP="008C2121">
      <w:pPr>
        <w:spacing w:after="0" w:line="360" w:lineRule="auto"/>
        <w:ind w:firstLine="357"/>
        <w:rPr>
          <w:rFonts w:asciiTheme="majorHAnsi" w:hAnsiTheme="majorHAnsi" w:cs="Arial"/>
          <w:spacing w:val="8"/>
          <w:lang w:val="az-Latn-AZ"/>
        </w:rPr>
      </w:pPr>
    </w:p>
    <w:p w:rsidR="005A0DD5" w:rsidRPr="00E31587" w:rsidRDefault="005A0DD5">
      <w:pPr>
        <w:rPr>
          <w:rFonts w:asciiTheme="majorHAnsi" w:hAnsiTheme="majorHAnsi" w:cs="Arial"/>
          <w:lang w:val="az-Latn-AZ"/>
        </w:rPr>
      </w:pPr>
    </w:p>
    <w:sectPr w:rsidR="005A0DD5" w:rsidRPr="00E31587" w:rsidSect="005A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068"/>
    <w:multiLevelType w:val="hybridMultilevel"/>
    <w:tmpl w:val="1B1C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A2928"/>
    <w:multiLevelType w:val="hybridMultilevel"/>
    <w:tmpl w:val="1906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06D"/>
    <w:multiLevelType w:val="hybridMultilevel"/>
    <w:tmpl w:val="1906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06D75"/>
    <w:multiLevelType w:val="hybridMultilevel"/>
    <w:tmpl w:val="F7A2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21"/>
    <w:rsid w:val="001D0B75"/>
    <w:rsid w:val="00495B25"/>
    <w:rsid w:val="005A0DD5"/>
    <w:rsid w:val="005D7CCF"/>
    <w:rsid w:val="00733942"/>
    <w:rsid w:val="008C2121"/>
    <w:rsid w:val="008D6695"/>
    <w:rsid w:val="00A961ED"/>
    <w:rsid w:val="00AA3ACD"/>
    <w:rsid w:val="00AE02DB"/>
    <w:rsid w:val="00CE1884"/>
    <w:rsid w:val="00E3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4E1D-7E47-4D92-A05B-A4630D2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2018-11-16T12:01:00Z</dcterms:created>
  <dcterms:modified xsi:type="dcterms:W3CDTF">2018-11-16T12:26:00Z</dcterms:modified>
</cp:coreProperties>
</file>